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000000"/>
          <w:sz w:val="40"/>
          <w:szCs w:val="40"/>
        </w:rPr>
        <mc:AlternateContent>
          <mc:Choice Requires="wps">
            <w:drawing>
              <wp:anchor behindDoc="0" distT="0" distB="0" distL="113665" distR="113665" simplePos="0" locked="0" layoutInCell="1" allowOverlap="1" relativeHeight="2">
                <wp:simplePos x="0" y="0"/>
                <wp:positionH relativeFrom="column">
                  <wp:posOffset>5191125</wp:posOffset>
                </wp:positionH>
                <wp:positionV relativeFrom="paragraph">
                  <wp:posOffset>635</wp:posOffset>
                </wp:positionV>
                <wp:extent cx="781685" cy="753110"/>
                <wp:effectExtent l="9525" t="9525" r="9525" b="9525"/>
                <wp:wrapSquare wrapText="bothSides"/>
                <wp:docPr id="1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5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0d9"/>
                        </a:solidFill>
                        <a:ln w="12600">
                          <a:solidFill>
                            <a:srgbClr val="703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7030A0"/>
                                <w:sz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7030A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-403860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Tight wrapText="bothSides">
              <wp:wrapPolygon edited="0">
                <wp:start x="6298" y="0"/>
                <wp:lineTo x="3812" y="1194"/>
                <wp:lineTo x="-83" y="5177"/>
                <wp:lineTo x="-83" y="16734"/>
                <wp:lineTo x="982" y="19123"/>
                <wp:lineTo x="5941" y="21122"/>
                <wp:lineTo x="6298" y="21122"/>
                <wp:lineTo x="11965" y="21122"/>
                <wp:lineTo x="12671" y="21122"/>
                <wp:lineTo x="15501" y="19123"/>
                <wp:lineTo x="21168" y="16335"/>
                <wp:lineTo x="21168" y="12751"/>
                <wp:lineTo x="18688" y="12751"/>
                <wp:lineTo x="21168" y="11158"/>
                <wp:lineTo x="21168" y="4778"/>
                <wp:lineTo x="15501" y="788"/>
                <wp:lineTo x="11965" y="0"/>
                <wp:lineTo x="6298" y="0"/>
              </wp:wrapPolygon>
            </wp:wrapTight>
            <wp:docPr id="3" name="Рисунок 6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7030A0"/>
          <w:sz w:val="20"/>
          <w:szCs w:val="24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7030A0"/>
          <w:kern w:val="2"/>
          <w:sz w:val="28"/>
          <w:szCs w:val="36"/>
          <w:lang w:eastAsia="ru-RU"/>
        </w:rPr>
        <w:t>Степновский отдел МБУК ВР «МЦБ»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7030A0"/>
          <w:kern w:val="2"/>
          <w:sz w:val="28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7030A0"/>
          <w:kern w:val="2"/>
          <w:sz w:val="28"/>
          <w:szCs w:val="36"/>
          <w:lang w:eastAsia="ru-RU"/>
        </w:rPr>
        <w:t>им. М. 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7030A0"/>
          <w:kern w:val="2"/>
          <w:sz w:val="36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7030A0"/>
          <w:kern w:val="2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7030A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7030A0"/>
          <w:sz w:val="96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sz w:val="96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7030A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sz w:val="48"/>
          <w:szCs w:val="23"/>
          <w:lang w:eastAsia="ru-RU"/>
        </w:rPr>
        <w:t>Познавательная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7030A0"/>
          <w:sz w:val="52"/>
          <w:szCs w:val="40"/>
        </w:rPr>
      </w:pPr>
      <w:r>
        <w:rPr>
          <w:rFonts w:eastAsia="Times New Roman" w:cs="Times New Roman" w:ascii="Times New Roman" w:hAnsi="Times New Roman"/>
          <w:b/>
          <w:color w:val="7030A0"/>
          <w:sz w:val="72"/>
          <w:szCs w:val="23"/>
          <w:lang w:eastAsia="ru-RU"/>
        </w:rPr>
        <w:t>«Вам, будущим профи: сто и одна дорога»</w:t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eastAsia="Calibri" w:cs="Times New Roman"/>
          <w:b/>
          <w:b/>
          <w:bCs/>
          <w:color w:val="7030A0"/>
          <w:sz w:val="40"/>
          <w:szCs w:val="40"/>
        </w:rPr>
      </w:pPr>
      <w:r>
        <w:rPr/>
        <w:drawing>
          <wp:inline distT="0" distB="0" distL="0" distR="0">
            <wp:extent cx="5505450" cy="3893820"/>
            <wp:effectExtent l="0" t="0" r="0" b="0"/>
            <wp:docPr id="4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7030A0"/>
          <w:sz w:val="32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32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7030A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28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7030A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28"/>
          <w:szCs w:val="40"/>
        </w:rPr>
        <w:t>Подготовила: библиотекарь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7030A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28"/>
          <w:szCs w:val="40"/>
        </w:rPr>
        <w:t>Степновского отдела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7030A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28"/>
          <w:szCs w:val="40"/>
        </w:rPr>
        <w:t>Дубова С.А.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7030A0"/>
          <w:sz w:val="36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36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7030A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7030A0"/>
          <w:kern w:val="2"/>
          <w:sz w:val="28"/>
          <w:szCs w:val="36"/>
          <w:lang w:eastAsia="ru-RU"/>
        </w:rPr>
        <w:t>х. Степной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7030A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7030A0"/>
          <w:kern w:val="2"/>
          <w:sz w:val="28"/>
          <w:szCs w:val="36"/>
          <w:lang w:eastAsia="ru-RU"/>
        </w:rPr>
        <w:t>02 августа 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7030A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7030A0"/>
          <w:kern w:val="2"/>
          <w:sz w:val="28"/>
          <w:szCs w:val="36"/>
          <w:lang w:eastAsia="ru-RU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Сценарий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«Вам, будущим профи: сто и одна дорога»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Дата проведения:                                                           02 августа 2023 года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Время проведения:                                                         12.00.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Место проведения:                                                          Библиотека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Расширять знания о мире профессий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формировать умение работать в группе;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воспитывать уважение к труду и людям различных профессий;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корректировать внимание, работать над связностью речи.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Дорогие друзья, приглашаю вас в путешествие по миру профессий, ведь их очень много — более 40 тысяч.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Загадки о профессиях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Строитель: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кирпича мы строим дом,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 смеялось солнце в нём.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выше, чтобы шире были комнаты в квартире.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Повар: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легко приготовить обед!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Ничего в этом трудного нет!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проще простого!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раз и готово!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Шофер: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же трудно спозаранку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Целый день крутить баранку!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его важна и сложна.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как она людям нужна!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  <w:i/>
          <w:iCs/>
        </w:rPr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Библиотекарь: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добра и справедлива, хоть и строгая на вид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выйдет буква криво – переписывать велит.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Дворник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Встает он на заре,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 расчистит во дворе,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Мусор </w:t>
      </w:r>
      <w:r>
        <w:rPr>
          <w:rFonts w:cs="Times New Roman" w:ascii="Times New Roman" w:hAnsi="Times New Roman"/>
          <w:sz w:val="28"/>
          <w:szCs w:val="28"/>
        </w:rPr>
        <w:t xml:space="preserve">быстро </w:t>
      </w:r>
      <w:r>
        <w:rPr>
          <w:rFonts w:cs="Times New Roman" w:ascii="Times New Roman" w:hAnsi="Times New Roman"/>
          <w:sz w:val="28"/>
          <w:szCs w:val="28"/>
        </w:rPr>
        <w:t>уберет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песком посыплет лёд.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Игра «Убери мусор»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Физ. минутка под песню «Песенка о мастерах» из х/ф «Про Красную шапочку»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</w:rPr>
        <w:t>Игра «Самая - самая»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Давайте выясним, насколько вы информированы о мире профессий, много ли профессий вы знаете.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зелёная профессия (садовник, лесник)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сладкая (пчеловод, кондитер, дегустатор, повар)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волосатая (парикмахер)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детская (воспитатель, помощник воспитателя)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смешная (клоун)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серьёзная (атомщик)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умная (учёный, профессор)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белая (врач)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зубастая (стоматолог)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начитанная (библиотекарь)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высокая (монтажник-высотник)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быстрая (гонщик)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самая смелая (полицейский)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Ребята, а как вы думаете, какая профессия самая главная? (Ответы детей).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Вопрос этот очень спорный. А найти ответ на этот вопрос нам поможет мультфильм «Все для всех». </w:t>
      </w:r>
      <w:r>
        <w:rPr>
          <w:rFonts w:cs="Times New Roman" w:ascii="Times New Roman" w:hAnsi="Times New Roman"/>
          <w:sz w:val="28"/>
          <w:szCs w:val="28"/>
        </w:rPr>
        <w:t>(просмотр мультфильма)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какая же профессия самая главная?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профессии взаимосвязаны и одинаково нужны. Мы с вами можем сделать вывод: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Профессий много в мире есть,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Их невозможно перечесть.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многие нужны,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актуальны, и важны.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Стало быть, так и выходит,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Все, что мы делаем, нужно,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Значит, давайте трудиться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Честно, усердно и дружно!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мастер потому и настоящий, что работает на совесть. Труд его приносит людям радость. И тогда люди говорят спасибо мастеру.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Портному – за (одежду).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Сапожнику – за удобную (обувь).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Столяру – за прочную (мебель).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Строителю – за уютное (жильё).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Парикмахеру – за красивую (прическу).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Врачу – за избавление от (боли).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Учителю – за (знания).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мы хотим поблагодарить тех, кто трудится на благо нашей Родины.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Профессий много на Земле,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выбирай, любя,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Решай, мой друг, кем быть тебе,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Ведь каждая из них важна.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использованной литературы: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Профориентационная работа в школе: метод.пособие/Е.В. Гурова, О.А. Голерова. – М.: Просвещение, 2007. – 96 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Психологическое консультирование по профессиональной ориентации. – М.: Изд-во ВЛАДОС-ПРЕСС, 2003. – 96 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Резапкина Г.В. Я и моя профессия: Программа профессионального самоопределения для подростков: Учебно-методическое пособие для школьных психологов и педагогов. – 2-е изд., исправл. – М.: Генезис, 2004. – 125 с.: 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Бендюков М. А. Ступени карьеры: азбука профориентации. – СанктПетербург: Речь, 2006. – 236 с.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Володина Ю.А. Дорога в жизнь или путешествие в будущее…Тренинговая программа проессионального и жизненного самоопределния для воспитанников детских домов и школ-интертатов. – М.: Генезис, 2012.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Грецов А. Выбираем профессию. Советы практического психолога. – Спб, 2006. 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LibreOffice/6.4.7.2$Linux_X86_64 LibreOffice_project/40$Build-2</Application>
  <Pages>5</Pages>
  <Words>520</Words>
  <Characters>3176</Characters>
  <CharactersWithSpaces>3800</CharactersWithSpaces>
  <Paragraphs>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2023-08-02T11:46:00Z</dcterms:created>
  <dc:creator>zbs29</dc:creator>
  <dc:description/>
  <dc:language>ru-RU</dc:language>
  <cp:lastModifiedBy/>
  <dcterms:modified xsi:type="dcterms:W3CDTF">2023-08-04T10:00:24Z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